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F5" w:rsidRDefault="00F046F5">
      <w:bookmarkStart w:id="0" w:name="_GoBack"/>
      <w:bookmarkEnd w:id="0"/>
    </w:p>
    <w:tbl>
      <w:tblPr>
        <w:tblStyle w:val="Tblzatrcsos5stt1jellszn"/>
        <w:tblW w:w="13887" w:type="dxa"/>
        <w:tblLook w:val="04A0" w:firstRow="1" w:lastRow="0" w:firstColumn="1" w:lastColumn="0" w:noHBand="0" w:noVBand="1"/>
      </w:tblPr>
      <w:tblGrid>
        <w:gridCol w:w="2561"/>
        <w:gridCol w:w="2124"/>
        <w:gridCol w:w="3535"/>
        <w:gridCol w:w="5667"/>
      </w:tblGrid>
      <w:tr w:rsidR="00A874E5" w:rsidRPr="00A874E5" w:rsidTr="00243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845" w:rsidRPr="00A874E5" w:rsidRDefault="00D80845" w:rsidP="006F3D0C">
            <w:pPr>
              <w:tabs>
                <w:tab w:val="left" w:pos="1798"/>
              </w:tabs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Határozat száma és kelte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80845" w:rsidRPr="008C0FB0" w:rsidRDefault="00D80845" w:rsidP="006F3D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8C0FB0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Bírság összege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80845" w:rsidRPr="008C0FB0" w:rsidRDefault="00D80845" w:rsidP="00D8084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8C0FB0">
              <w:rPr>
                <w:rFonts w:ascii="Times New Roman" w:eastAsia="Times New Roman" w:hAnsi="Times New Roman" w:cs="Times New Roman"/>
                <w:bCs w:val="0"/>
                <w:color w:val="1F3864" w:themeColor="accent5" w:themeShade="80"/>
                <w:sz w:val="24"/>
                <w:szCs w:val="24"/>
                <w:lang w:eastAsia="hu-HU"/>
              </w:rPr>
              <w:t xml:space="preserve">GDPR </w:t>
            </w:r>
            <w:r w:rsidRPr="008C0FB0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érintett cikkei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D80845" w:rsidRPr="00A874E5" w:rsidRDefault="00D80845" w:rsidP="0041186D">
            <w:pPr>
              <w:ind w:left="12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Rövid összefoglalás</w:t>
            </w:r>
          </w:p>
        </w:tc>
      </w:tr>
      <w:tr w:rsidR="00D80845" w:rsidRPr="006F3D0C" w:rsidTr="00243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4" w:space="0" w:color="auto"/>
            </w:tcBorders>
            <w:hideMark/>
          </w:tcPr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 </w:t>
            </w:r>
            <w:hyperlink r:id="rId7" w:tgtFrame="_blank" w:history="1">
              <w:r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>NAIH/2020/166/5</w:t>
              </w:r>
            </w:hyperlink>
          </w:p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(2020.03.26.)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hideMark/>
          </w:tcPr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1.000.000 Ft</w:t>
            </w:r>
          </w:p>
        </w:tc>
        <w:tc>
          <w:tcPr>
            <w:tcW w:w="3535" w:type="dxa"/>
            <w:tcBorders>
              <w:top w:val="single" w:sz="4" w:space="0" w:color="auto"/>
            </w:tcBorders>
            <w:hideMark/>
          </w:tcPr>
          <w:p w:rsidR="00D80845" w:rsidRPr="006F3D0C" w:rsidRDefault="00D80845" w:rsidP="00936C8E">
            <w:pPr>
              <w:numPr>
                <w:ilvl w:val="0"/>
                <w:numId w:val="2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b) pont (célhoz kötöttség) </w:t>
            </w:r>
          </w:p>
          <w:p w:rsidR="00D80845" w:rsidRPr="006F3D0C" w:rsidRDefault="00D80845" w:rsidP="00936C8E">
            <w:pPr>
              <w:numPr>
                <w:ilvl w:val="0"/>
                <w:numId w:val="2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cikk (1) bek. (jogalapok)</w:t>
            </w:r>
          </w:p>
        </w:tc>
        <w:tc>
          <w:tcPr>
            <w:tcW w:w="5667" w:type="dxa"/>
            <w:tcBorders>
              <w:top w:val="single" w:sz="4" w:space="0" w:color="auto"/>
            </w:tcBorders>
            <w:hideMark/>
          </w:tcPr>
          <w:p w:rsidR="00D80845" w:rsidRDefault="00D80845" w:rsidP="0041186D">
            <w:pPr>
              <w:spacing w:before="100" w:beforeAutospacing="1" w:after="100" w:afterAutospacing="1"/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banki ügyintéző általi </w:t>
            </w:r>
            <w:r w:rsidRPr="00B23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téves adatrögzítés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miatt az érintett adatai megjelentek egy tőle független kölcsönszerződéssel összefüggésben a Központi Hitelinformációs Rendszerben (KHR) is.</w:t>
            </w:r>
          </w:p>
          <w:p w:rsidR="00D80845" w:rsidRPr="006F3D0C" w:rsidRDefault="00D80845" w:rsidP="0041186D">
            <w:pPr>
              <w:spacing w:before="100" w:beforeAutospacing="1" w:after="100" w:afterAutospacing="1"/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0845" w:rsidRPr="006F3D0C" w:rsidTr="0041186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F6327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hyperlink r:id="rId8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>NAIH/2020/200/5</w:t>
              </w:r>
            </w:hyperlink>
          </w:p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(2020.03.19.)</w:t>
            </w:r>
          </w:p>
        </w:tc>
        <w:tc>
          <w:tcPr>
            <w:tcW w:w="2124" w:type="dxa"/>
            <w:hideMark/>
          </w:tcPr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2.000.000 Ft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4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(2) bek. (elszámoltathatóság)</w:t>
            </w:r>
          </w:p>
          <w:p w:rsidR="00D80845" w:rsidRPr="006F3D0C" w:rsidRDefault="00D80845" w:rsidP="00936C8E">
            <w:pPr>
              <w:numPr>
                <w:ilvl w:val="0"/>
                <w:numId w:val="4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 cikk (1)-(4) bek. (átlátható tájékoztatás, kommunikáció és az érintett jogainak gyakorlására vonatkozó intézkedések)</w:t>
            </w:r>
          </w:p>
          <w:p w:rsidR="00D80845" w:rsidRPr="006F3D0C" w:rsidRDefault="00D80845" w:rsidP="00936C8E">
            <w:pPr>
              <w:numPr>
                <w:ilvl w:val="0"/>
                <w:numId w:val="4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 cikk (hozzáférési jog)</w:t>
            </w:r>
          </w:p>
          <w:p w:rsidR="00D80845" w:rsidRPr="006F3D0C" w:rsidRDefault="00D80845" w:rsidP="00936C8E">
            <w:pPr>
              <w:numPr>
                <w:ilvl w:val="0"/>
                <w:numId w:val="4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 cikk (adatkezelés korlátozásához való jog)</w:t>
            </w:r>
          </w:p>
        </w:tc>
        <w:tc>
          <w:tcPr>
            <w:tcW w:w="5667" w:type="dxa"/>
            <w:hideMark/>
          </w:tcPr>
          <w:p w:rsidR="00D80845" w:rsidRDefault="00D80845" w:rsidP="0041186D">
            <w:pPr>
              <w:spacing w:before="100" w:beforeAutospacing="1" w:after="100" w:afterAutospacing="1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23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Kamarafeltételek 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 hozzáférési jog keretében történő - </w:t>
            </w:r>
            <w:r w:rsidRPr="00B23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kiadásának elmaradásával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illetve zárolt kamerafelvételek törlése miatt, a hozzáférési jog gyakorlásának megsértésére került sor. Az adatkezelő nem adott előzetes tájékoztatást a zárolás feloldásáról sem, így ellehetetlenítve az érintetti jogok megfelelő gyakorlását. Az adatkezelő nem tudta igazolni azt sem, hogy - az eljárással érintett időszakban - a kamerákkal történő adatkezelés megfelelt az adatvédelmi követelményeknek.   </w:t>
            </w:r>
          </w:p>
          <w:p w:rsidR="00D80845" w:rsidRPr="006F3D0C" w:rsidRDefault="00D80845" w:rsidP="0041186D">
            <w:pPr>
              <w:spacing w:before="100" w:beforeAutospacing="1" w:after="100" w:afterAutospacing="1"/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197B85" w:rsidRPr="006F3D0C" w:rsidTr="00411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</w:tcPr>
          <w:p w:rsidR="00197B85" w:rsidRPr="00A874E5" w:rsidRDefault="00197B8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color w:val="1F3864" w:themeColor="accent5" w:themeShade="80"/>
              </w:rPr>
            </w:pPr>
          </w:p>
        </w:tc>
        <w:tc>
          <w:tcPr>
            <w:tcW w:w="2124" w:type="dxa"/>
          </w:tcPr>
          <w:p w:rsidR="00197B85" w:rsidRPr="00EA3A76" w:rsidRDefault="00197B85" w:rsidP="006F3D0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535" w:type="dxa"/>
          </w:tcPr>
          <w:p w:rsidR="00197B85" w:rsidRPr="006F3D0C" w:rsidRDefault="00197B85" w:rsidP="00936C8E">
            <w:pPr>
              <w:numPr>
                <w:ilvl w:val="0"/>
                <w:numId w:val="4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67" w:type="dxa"/>
          </w:tcPr>
          <w:p w:rsidR="00197B85" w:rsidRPr="00B23F3B" w:rsidRDefault="00197B85" w:rsidP="0041186D">
            <w:pPr>
              <w:spacing w:before="100" w:beforeAutospacing="1" w:after="100" w:afterAutospacing="1"/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80845" w:rsidRPr="006F3D0C" w:rsidTr="0041186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F6327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hyperlink r:id="rId9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>NAIH/2020/1160</w:t>
              </w:r>
            </w:hyperlink>
          </w:p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(2020.05.18.)</w:t>
            </w:r>
          </w:p>
        </w:tc>
        <w:tc>
          <w:tcPr>
            <w:tcW w:w="2124" w:type="dxa"/>
            <w:hideMark/>
          </w:tcPr>
          <w:p w:rsidR="00D80845" w:rsidRPr="00EA3A76" w:rsidRDefault="00D80845" w:rsidP="006F3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F2B6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100.000.000 Ft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6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b) (célhoz kötöttség)</w:t>
            </w:r>
          </w:p>
          <w:p w:rsidR="00D80845" w:rsidRPr="006F3D0C" w:rsidRDefault="00D80845" w:rsidP="00936C8E">
            <w:pPr>
              <w:numPr>
                <w:ilvl w:val="0"/>
                <w:numId w:val="6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e) (korlátozott tárolhatóság)</w:t>
            </w:r>
          </w:p>
          <w:p w:rsidR="00D80845" w:rsidRPr="006F3D0C" w:rsidRDefault="00D80845" w:rsidP="00936C8E">
            <w:pPr>
              <w:numPr>
                <w:ilvl w:val="0"/>
                <w:numId w:val="6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 cikk (az adatkezelés biztonsága)</w:t>
            </w:r>
          </w:p>
        </w:tc>
        <w:tc>
          <w:tcPr>
            <w:tcW w:w="5667" w:type="dxa"/>
            <w:hideMark/>
          </w:tcPr>
          <w:p w:rsidR="00D80845" w:rsidRDefault="00D80845" w:rsidP="0041186D">
            <w:pPr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 adatvédelmi incidenst követő vizsgálat során megállapította a Hatóság, hogy </w:t>
            </w: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adatkezelő honlapján keresztül kihasználható sérülékenység személyes adatokhoz való hozzáférést eredményezhetett.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adatkezelő nem alkalmazott megfelelő technikai védelmi intézkedéseket a személyes adatok kapcsán, különösen, hogy a 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személyes adatokat tartalmazó adatbázist nem titkosította. </w:t>
            </w:r>
          </w:p>
          <w:p w:rsidR="00D80845" w:rsidRDefault="00D80845" w:rsidP="0041186D">
            <w:pPr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célhoz kötöttség és korlátozott tárolhatóság megsértését pedig arra tekintettel állapította meg a NAIH, hogy az adatkezelő egy korábbi, hibajavítás céljára létrehozott adatbázist nem törölt azt követően, hogy az adatkezelés célja megszűnt. </w:t>
            </w:r>
          </w:p>
          <w:p w:rsidR="00D80845" w:rsidRPr="006F3D0C" w:rsidRDefault="00D80845" w:rsidP="0041186D">
            <w:pPr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0845" w:rsidRPr="006F3D0C" w:rsidTr="00411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F6327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hyperlink r:id="rId10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 xml:space="preserve">NAIH/2020/308 </w:t>
              </w:r>
            </w:hyperlink>
          </w:p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(2020.01.22.)</w:t>
            </w:r>
          </w:p>
        </w:tc>
        <w:tc>
          <w:tcPr>
            <w:tcW w:w="2124" w:type="dxa"/>
            <w:hideMark/>
          </w:tcPr>
          <w:p w:rsidR="00D80845" w:rsidRPr="00EA3A76" w:rsidRDefault="00D80845" w:rsidP="006F3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2.000.000 Ft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8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 cikk (hozzáférési jog)</w:t>
            </w:r>
          </w:p>
        </w:tc>
        <w:tc>
          <w:tcPr>
            <w:tcW w:w="5667" w:type="dxa"/>
            <w:hideMark/>
          </w:tcPr>
          <w:p w:rsidR="00D80845" w:rsidRDefault="00D80845" w:rsidP="0041186D">
            <w:pPr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adatkezelő az </w:t>
            </w: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érintett hozzáférési kérelmére nem válaszolt érdemben.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Egyrészt általánosságban adott tájékoztatást az adatkezelésről, nem az érintett kérdéseire reagált, másrészt arra hivatkozott, hogy egy korábbi kérelme kapcsán az érintett már választ kapott a kérdéseire, amelyet a felek közötti jogvitában hozott bírósági döntés is alátámaszt (res iudicata).  </w:t>
            </w:r>
          </w:p>
          <w:p w:rsidR="00D80845" w:rsidRPr="006F3D0C" w:rsidRDefault="00D80845" w:rsidP="0041186D">
            <w:pPr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0845" w:rsidRPr="006F3D0C" w:rsidTr="0041186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F6327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hyperlink r:id="rId11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>NAIH/2020/974</w:t>
              </w:r>
            </w:hyperlink>
          </w:p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(2020.07.09.)</w:t>
            </w:r>
          </w:p>
        </w:tc>
        <w:tc>
          <w:tcPr>
            <w:tcW w:w="2124" w:type="dxa"/>
            <w:hideMark/>
          </w:tcPr>
          <w:p w:rsidR="00D80845" w:rsidRPr="00EA3A76" w:rsidRDefault="00D80845" w:rsidP="006F3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1.000.000 Ft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9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a) pont (jogszerűség, tisztességes eljárás és átláthatóság)</w:t>
            </w:r>
          </w:p>
          <w:p w:rsidR="00D80845" w:rsidRPr="006F3D0C" w:rsidRDefault="00D80845" w:rsidP="00936C8E">
            <w:pPr>
              <w:numPr>
                <w:ilvl w:val="0"/>
                <w:numId w:val="9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(2) bek. (elszámoltathatóság) </w:t>
            </w:r>
          </w:p>
          <w:p w:rsidR="00D80845" w:rsidRPr="006F3D0C" w:rsidRDefault="00D80845" w:rsidP="00936C8E">
            <w:pPr>
              <w:numPr>
                <w:ilvl w:val="0"/>
                <w:numId w:val="9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cikk (1) bek. (jogalapok)</w:t>
            </w:r>
          </w:p>
          <w:p w:rsidR="00D80845" w:rsidRPr="006F3D0C" w:rsidRDefault="00D80845" w:rsidP="00936C8E">
            <w:pPr>
              <w:numPr>
                <w:ilvl w:val="0"/>
                <w:numId w:val="9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 cikk (1) bek. (személyes adatok különleges kategóriáinak kezelése)</w:t>
            </w:r>
          </w:p>
          <w:p w:rsidR="00D80845" w:rsidRPr="006F3D0C" w:rsidRDefault="00D80845" w:rsidP="00936C8E">
            <w:pPr>
              <w:numPr>
                <w:ilvl w:val="0"/>
                <w:numId w:val="9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 cikk (tájékoztatás / rendelkezésre bocsátandó információk, ha a személyes adatokat az érintettől gyűjtik)</w:t>
            </w:r>
          </w:p>
        </w:tc>
        <w:tc>
          <w:tcPr>
            <w:tcW w:w="5667" w:type="dxa"/>
            <w:hideMark/>
          </w:tcPr>
          <w:p w:rsidR="00D80845" w:rsidRDefault="00D80845" w:rsidP="0041186D">
            <w:pPr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Aláírásgyűjtéssel járó kezdeményezés során a kapcsolattartói adatok politikai célból történő kezelésével kapcsolatban állapította meg a Hatóság a </w:t>
            </w: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hozzájárulások hiányát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illetve a tájékoztatás hiányosságát. Az eljárás érintette az aláírások papír alapon történő gyűjtését és az aláíró ívek online feltöltéséhez kapcsolódó adatkezelést is. </w:t>
            </w:r>
          </w:p>
          <w:p w:rsidR="00D80845" w:rsidRPr="006F3D0C" w:rsidRDefault="00D80845" w:rsidP="0041186D">
            <w:pPr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0845" w:rsidRPr="006F3D0C" w:rsidTr="00411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F6327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hyperlink r:id="rId12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>NAIH/2020/4365</w:t>
              </w:r>
            </w:hyperlink>
          </w:p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(2020.05.28.)</w:t>
            </w:r>
          </w:p>
        </w:tc>
        <w:tc>
          <w:tcPr>
            <w:tcW w:w="2124" w:type="dxa"/>
            <w:hideMark/>
          </w:tcPr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1.000.000 Ft</w:t>
            </w:r>
          </w:p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+ </w:t>
            </w:r>
          </w:p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500.000 Ft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10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a) pont (jogszerűség, tisztességes eljárás és átláthatóság)</w:t>
            </w:r>
          </w:p>
          <w:p w:rsidR="00D80845" w:rsidRPr="006F3D0C" w:rsidRDefault="00D80845" w:rsidP="00936C8E">
            <w:pPr>
              <w:numPr>
                <w:ilvl w:val="0"/>
                <w:numId w:val="10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b) pont (célhoz kötöttség)</w:t>
            </w:r>
          </w:p>
          <w:p w:rsidR="00D80845" w:rsidRPr="006F3D0C" w:rsidRDefault="00D80845" w:rsidP="00936C8E">
            <w:pPr>
              <w:numPr>
                <w:ilvl w:val="0"/>
                <w:numId w:val="10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c) pont (adattakarékosság)</w:t>
            </w:r>
          </w:p>
          <w:p w:rsidR="00D80845" w:rsidRPr="006F3D0C" w:rsidRDefault="00D80845" w:rsidP="00936C8E">
            <w:pPr>
              <w:numPr>
                <w:ilvl w:val="0"/>
                <w:numId w:val="10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(2) bek. (elszámoltathatóság) </w:t>
            </w:r>
          </w:p>
          <w:p w:rsidR="00D80845" w:rsidRPr="006F3D0C" w:rsidRDefault="00D80845" w:rsidP="00936C8E">
            <w:pPr>
              <w:numPr>
                <w:ilvl w:val="0"/>
                <w:numId w:val="10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 cikk (1) és (3) bek. (hozzáférési jog)</w:t>
            </w:r>
          </w:p>
        </w:tc>
        <w:tc>
          <w:tcPr>
            <w:tcW w:w="5667" w:type="dxa"/>
            <w:hideMark/>
          </w:tcPr>
          <w:p w:rsidR="00D80845" w:rsidRDefault="00D80845" w:rsidP="0041186D">
            <w:pPr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Követelés behajtásával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kapcsolatban történő adatkezeléssel összefüggésben állapított meg jogsértést a Hatóság. Az ügy érdekessége, hogy az adatkezelő mellett az adatfeldolgozó tekintetében is bírságot szabott ki a NAIH (500.000 Ft), mivel  adatfeldolgozói minőség</w:t>
            </w:r>
            <w:r w:rsidR="0041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én túlterjeszkedve nyújtott nem 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megfelelő tájékoztatást az érintettnek</w:t>
            </w:r>
            <w:r w:rsidR="0041186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mellyel megsértette a GDPR 5. 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cikk (1) bek. a) pontját (jogszerűség, tisztességes eljárás és átláthatóság).</w:t>
            </w:r>
          </w:p>
          <w:p w:rsidR="00D80845" w:rsidRDefault="00D80845" w:rsidP="0041186D">
            <w:pPr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80845" w:rsidRDefault="00D80845" w:rsidP="0041186D">
            <w:pPr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80845" w:rsidRPr="006F3D0C" w:rsidRDefault="00D80845" w:rsidP="0041186D">
            <w:pPr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0845" w:rsidRPr="006F3D0C" w:rsidTr="0041186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 </w:t>
            </w:r>
            <w:hyperlink r:id="rId13" w:tgtFrame="_blank" w:history="1">
              <w:r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 xml:space="preserve">NAIH/2020/1154 </w:t>
              </w:r>
            </w:hyperlink>
          </w:p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(2020.07.23.)</w:t>
            </w:r>
          </w:p>
        </w:tc>
        <w:tc>
          <w:tcPr>
            <w:tcW w:w="2124" w:type="dxa"/>
            <w:hideMark/>
          </w:tcPr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2.000.000 Ft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11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a) pont (jogszerűség, tisztességes eljárás és átláthatóság)</w:t>
            </w:r>
          </w:p>
          <w:p w:rsidR="00D80845" w:rsidRPr="006F3D0C" w:rsidRDefault="00D80845" w:rsidP="00936C8E">
            <w:pPr>
              <w:numPr>
                <w:ilvl w:val="0"/>
                <w:numId w:val="11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(2) bek. (elszámoltathatóság)</w:t>
            </w:r>
          </w:p>
          <w:p w:rsidR="00D80845" w:rsidRPr="006F3D0C" w:rsidRDefault="00D80845" w:rsidP="00936C8E">
            <w:pPr>
              <w:numPr>
                <w:ilvl w:val="0"/>
                <w:numId w:val="11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cikk (1) bek. f) pont (érdekmérlegelés)</w:t>
            </w:r>
          </w:p>
          <w:p w:rsidR="00D80845" w:rsidRPr="006F3D0C" w:rsidRDefault="00D80845" w:rsidP="00936C8E">
            <w:pPr>
              <w:numPr>
                <w:ilvl w:val="0"/>
                <w:numId w:val="11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 cikk (1) és (4) bek. (átlátható tájékoztatás, kommunikáció és az érintett jogainak gyakorlására vonatkozó intézkedések)</w:t>
            </w:r>
          </w:p>
          <w:p w:rsidR="00D80845" w:rsidRPr="006F3D0C" w:rsidRDefault="00D80845" w:rsidP="00936C8E">
            <w:pPr>
              <w:numPr>
                <w:ilvl w:val="0"/>
                <w:numId w:val="11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 cikk (rendelkezésre bocsátandó információk, ha a személyes adatokat nem az érintettől szerezték meg)</w:t>
            </w:r>
          </w:p>
          <w:p w:rsidR="00D80845" w:rsidRPr="006F3D0C" w:rsidRDefault="00D80845" w:rsidP="00936C8E">
            <w:pPr>
              <w:numPr>
                <w:ilvl w:val="0"/>
                <w:numId w:val="11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 cikk (hozzáférési jog)</w:t>
            </w:r>
          </w:p>
          <w:p w:rsidR="00D80845" w:rsidRPr="006F3D0C" w:rsidRDefault="00D80845" w:rsidP="00936C8E">
            <w:pPr>
              <w:numPr>
                <w:ilvl w:val="0"/>
                <w:numId w:val="11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21. cikk (4) bek. (tiltakozáshoz való jog)</w:t>
            </w:r>
          </w:p>
        </w:tc>
        <w:tc>
          <w:tcPr>
            <w:tcW w:w="5667" w:type="dxa"/>
            <w:hideMark/>
          </w:tcPr>
          <w:p w:rsidR="00D80845" w:rsidRDefault="00D80845" w:rsidP="0041186D">
            <w:pPr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A NAIH a </w:t>
            </w: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Forbes Magazin 50</w:t>
            </w: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br/>
              <w:t>leggazdagabb magyart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legnagyobb családi vállalkozásokat tartalmazó kiadványaival kapcsolatos adatkezeléseket vizsgálta. Az ügy eldöntése szempontjából kiemelt jelentőségű a személyes adatok kezelésének és a véleménynyilvánítás szabadságához és a tájékozódáshoz való jognak az egymáshoz való viszonya, illetve az ezek közötti egyensúly megtalálása. A Hatóság hiányosságokat állapított meg az érdekmérlegelés elvégzése és a tájékoztatás kapcsán, ugyanakkor elutasította az adatok törlésére vonatkozó igényt arra tekintettel, hogy az szükséges 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véleménynyilvánítás szabadságához és a tájékozódáshoz való jog gyakorlása céljából (17. cikk (3) bek. a) pont).  </w:t>
            </w:r>
          </w:p>
          <w:p w:rsidR="00D80845" w:rsidRPr="006F3D0C" w:rsidRDefault="00D80845" w:rsidP="0041186D">
            <w:pPr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0845" w:rsidRPr="006F3D0C" w:rsidTr="00411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F6327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hyperlink r:id="rId14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>NAIH/2020/838</w:t>
              </w:r>
            </w:hyperlink>
          </w:p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(2020.07.23.)</w:t>
            </w:r>
          </w:p>
        </w:tc>
        <w:tc>
          <w:tcPr>
            <w:tcW w:w="2124" w:type="dxa"/>
            <w:hideMark/>
          </w:tcPr>
          <w:p w:rsidR="00D80845" w:rsidRPr="00EA3A76" w:rsidRDefault="00D80845" w:rsidP="006F3D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2.500.000 Ft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12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a) pont (jogszerűség, tisztességes eljárás és átláthatóság)</w:t>
            </w:r>
          </w:p>
          <w:p w:rsidR="00D80845" w:rsidRPr="006F3D0C" w:rsidRDefault="00D80845" w:rsidP="00936C8E">
            <w:pPr>
              <w:numPr>
                <w:ilvl w:val="0"/>
                <w:numId w:val="12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(2) bek. (elszámoltathatóság)</w:t>
            </w:r>
          </w:p>
          <w:p w:rsidR="00D80845" w:rsidRPr="006F3D0C" w:rsidRDefault="00D80845" w:rsidP="00936C8E">
            <w:pPr>
              <w:numPr>
                <w:ilvl w:val="0"/>
                <w:numId w:val="12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cikk (1) bek. f) pont (érdekmérlegelés)</w:t>
            </w:r>
          </w:p>
          <w:p w:rsidR="00D80845" w:rsidRPr="006F3D0C" w:rsidRDefault="00D80845" w:rsidP="00936C8E">
            <w:pPr>
              <w:numPr>
                <w:ilvl w:val="0"/>
                <w:numId w:val="12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 cikk (1) és (4) bek. (átlátható tájékoztatás, kommunikáció és az érintett jogainak gyakorlására vonatkozó intézkedések)</w:t>
            </w:r>
          </w:p>
          <w:p w:rsidR="00D80845" w:rsidRPr="006F3D0C" w:rsidRDefault="00D80845" w:rsidP="00936C8E">
            <w:pPr>
              <w:numPr>
                <w:ilvl w:val="0"/>
                <w:numId w:val="12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 cikk (rendelkezésre bocsátandó információk, ha a személyes adatokat nem az érintettől szerezték meg)</w:t>
            </w:r>
          </w:p>
          <w:p w:rsidR="00D80845" w:rsidRPr="006F3D0C" w:rsidRDefault="00D80845" w:rsidP="00936C8E">
            <w:pPr>
              <w:numPr>
                <w:ilvl w:val="0"/>
                <w:numId w:val="12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 cikk (1) és (4) bek. (tiltakozáshoz való jog)</w:t>
            </w:r>
          </w:p>
        </w:tc>
        <w:tc>
          <w:tcPr>
            <w:tcW w:w="5667" w:type="dxa"/>
            <w:hideMark/>
          </w:tcPr>
          <w:p w:rsidR="00D80845" w:rsidRPr="006F3D0C" w:rsidRDefault="00D80845" w:rsidP="0041186D">
            <w:pPr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NAIH a Forbes Magazin 50</w:t>
            </w: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br/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leggazdagabb magyart és legnagyobb családi vállalkozásokat tartalmazó kiadványaival kapcsolatos adatkezeléseket vizsgálta. Az ügy eldöntése szempontjából kiemelt jelentőségű a személyes adatok kezelésének és a véleménynyilvánítás szabadságához és a tájékozódáshoz való jognak az egymáshoz való viszonya, illetve az ezek közötti egyensúly megtalálása. A Hatóság hiányosságokat állapított meg az érdekmérlegelés elvégzése és a tájékoztatás kapcsán, ugyanakkor elutasította az adatok törlésére vonatkozó igényt arra tekintettel, hogy az szükséges 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véleménynyilvánítás szabadságához és a tájékozódáshoz való jog gyakorlása céljából (17. cikk (3) bek. a) pont).    </w:t>
            </w:r>
          </w:p>
        </w:tc>
      </w:tr>
      <w:tr w:rsidR="00D80845" w:rsidRPr="006F3D0C" w:rsidTr="0041186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F6327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hyperlink r:id="rId15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>NAIH/2020/35/3.</w:t>
              </w:r>
            </w:hyperlink>
            <w:r w:rsidR="00D80845"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 xml:space="preserve"> (2020.07.16.)</w:t>
            </w:r>
          </w:p>
        </w:tc>
        <w:tc>
          <w:tcPr>
            <w:tcW w:w="2124" w:type="dxa"/>
            <w:hideMark/>
          </w:tcPr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1.000.000 Ft</w:t>
            </w:r>
          </w:p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+ </w:t>
            </w:r>
          </w:p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500.000 Ft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15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a) pont (jogszerűség, tisztességes eljárás és átláthatóság)</w:t>
            </w:r>
          </w:p>
          <w:p w:rsidR="00D80845" w:rsidRPr="006F3D0C" w:rsidRDefault="00D80845" w:rsidP="00936C8E">
            <w:pPr>
              <w:numPr>
                <w:ilvl w:val="0"/>
                <w:numId w:val="15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(2) bek. (elszámoltathatóság) </w:t>
            </w:r>
          </w:p>
          <w:p w:rsidR="00D80845" w:rsidRPr="006F3D0C" w:rsidRDefault="00D80845" w:rsidP="00936C8E">
            <w:pPr>
              <w:numPr>
                <w:ilvl w:val="0"/>
                <w:numId w:val="15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21. cikk (4) bek. (tiltakozási jogról való tájékoztatás)</w:t>
            </w:r>
          </w:p>
        </w:tc>
        <w:tc>
          <w:tcPr>
            <w:tcW w:w="5667" w:type="dxa"/>
            <w:hideMark/>
          </w:tcPr>
          <w:p w:rsidR="00D80845" w:rsidRPr="006F3D0C" w:rsidRDefault="00D80845" w:rsidP="0041186D">
            <w:pPr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Követelés behajtásával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kapcsolatban történő adatkezeléssel összefüggésben állapított meg jogsértést a Hatóság, különös tekintettel az értékbecsléssel összefüggő adatkezelésre.</w:t>
            </w:r>
          </w:p>
        </w:tc>
      </w:tr>
      <w:tr w:rsidR="00D80845" w:rsidRPr="006F3D0C" w:rsidTr="00411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F6327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hyperlink r:id="rId16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>NAIH/2020/2204/8.</w:t>
              </w:r>
            </w:hyperlink>
            <w:r w:rsidR="00D80845"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 xml:space="preserve"> (2020.09.03.)</w:t>
            </w:r>
          </w:p>
        </w:tc>
        <w:tc>
          <w:tcPr>
            <w:tcW w:w="2124" w:type="dxa"/>
            <w:hideMark/>
          </w:tcPr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F2B6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20.000.000 Ft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16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 cikk (4) bek. (átlátható tájékoztatás, kommunikáció és az érintett jogainak gyakorlására vonatkozó intézkedések)</w:t>
            </w:r>
          </w:p>
          <w:p w:rsidR="00D80845" w:rsidRPr="006F3D0C" w:rsidRDefault="00D80845" w:rsidP="00936C8E">
            <w:pPr>
              <w:numPr>
                <w:ilvl w:val="0"/>
                <w:numId w:val="16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 cikk (1) bek. (hozzáférési jog)</w:t>
            </w:r>
          </w:p>
          <w:p w:rsidR="00D80845" w:rsidRPr="006F3D0C" w:rsidRDefault="00D80845" w:rsidP="00936C8E">
            <w:pPr>
              <w:numPr>
                <w:ilvl w:val="0"/>
                <w:numId w:val="16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 cikk (adatkezelés korlátozásához való jog)</w:t>
            </w:r>
          </w:p>
          <w:p w:rsidR="00D80845" w:rsidRPr="006F3D0C" w:rsidRDefault="00D80845" w:rsidP="00936C8E">
            <w:pPr>
              <w:numPr>
                <w:ilvl w:val="0"/>
                <w:numId w:val="16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 cikk (1) bek. (beépített adatvédelem)</w:t>
            </w:r>
          </w:p>
        </w:tc>
        <w:tc>
          <w:tcPr>
            <w:tcW w:w="5667" w:type="dxa"/>
            <w:hideMark/>
          </w:tcPr>
          <w:p w:rsidR="00D80845" w:rsidRPr="006F3D0C" w:rsidRDefault="00D80845" w:rsidP="0041186D">
            <w:pPr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Kamerás megfigyeléssel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kapcsolatos adatkezelés során az érintetti jogok gyakorlására vonatkozó eljárásrend nem megfelelő kialakítása.</w:t>
            </w:r>
          </w:p>
        </w:tc>
      </w:tr>
      <w:tr w:rsidR="00D80845" w:rsidRPr="006F3D0C" w:rsidTr="0041186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F6327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hyperlink r:id="rId17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 xml:space="preserve">NAIH/2020/952 </w:t>
              </w:r>
            </w:hyperlink>
          </w:p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(2020.04.27.)</w:t>
            </w:r>
          </w:p>
        </w:tc>
        <w:tc>
          <w:tcPr>
            <w:tcW w:w="2124" w:type="dxa"/>
            <w:hideMark/>
          </w:tcPr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F2B6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7.500.000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17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 cikk (az adatvédelmi incidens bejelentése a felügyeleti hatóságnak)</w:t>
            </w:r>
          </w:p>
          <w:p w:rsidR="00D80845" w:rsidRPr="006F3D0C" w:rsidRDefault="00D80845" w:rsidP="00936C8E">
            <w:pPr>
              <w:numPr>
                <w:ilvl w:val="0"/>
                <w:numId w:val="17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 cikk (az érintett tájékoztatása az adatvédelmi incidensről)</w:t>
            </w:r>
          </w:p>
          <w:p w:rsidR="00D80845" w:rsidRPr="006F3D0C" w:rsidRDefault="00D80845" w:rsidP="00936C8E">
            <w:pPr>
              <w:numPr>
                <w:ilvl w:val="0"/>
                <w:numId w:val="17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 cikk (1) bek. b) pont (az adatkezelés biztonsága)</w:t>
            </w:r>
          </w:p>
        </w:tc>
        <w:tc>
          <w:tcPr>
            <w:tcW w:w="5667" w:type="dxa"/>
            <w:hideMark/>
          </w:tcPr>
          <w:p w:rsidR="00D80845" w:rsidRPr="006F3D0C" w:rsidRDefault="00D80845" w:rsidP="0041186D">
            <w:pPr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Egészségügyi adatokat is tartalmazó online rendszer sérülékenysége kapcsán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megállapításra került, hogy az adatkezelő nem alkalmazott megfelelő adatbiztonsági intézkedéseket és az incidenskezelés körében sem járt el megfelelően (különös tekintettel a téves kockázatértékelésre). </w:t>
            </w:r>
          </w:p>
        </w:tc>
      </w:tr>
      <w:tr w:rsidR="00D80845" w:rsidRPr="006F3D0C" w:rsidTr="00411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F6327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hyperlink r:id="rId18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>NAIH/2020/1866/5.</w:t>
              </w:r>
            </w:hyperlink>
          </w:p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(2020.07.23.)</w:t>
            </w:r>
          </w:p>
        </w:tc>
        <w:tc>
          <w:tcPr>
            <w:tcW w:w="2124" w:type="dxa"/>
            <w:hideMark/>
          </w:tcPr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5.000.000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18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bekezdés a) pont (jogszerűség, tisztességes eljárás és átláthatóság)</w:t>
            </w:r>
          </w:p>
          <w:p w:rsidR="00D80845" w:rsidRPr="006F3D0C" w:rsidRDefault="00D80845" w:rsidP="00936C8E">
            <w:pPr>
              <w:numPr>
                <w:ilvl w:val="0"/>
                <w:numId w:val="18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cikk (1) bek. (jogalapok)</w:t>
            </w:r>
          </w:p>
          <w:p w:rsidR="00D80845" w:rsidRPr="006F3D0C" w:rsidRDefault="00D80845" w:rsidP="00936C8E">
            <w:pPr>
              <w:numPr>
                <w:ilvl w:val="0"/>
                <w:numId w:val="18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12. cikk (1) bek. (átlátható tájékoztatás, 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kommunikáció és az érintett jogainak gyakorlására vonatkozó intézkedések)</w:t>
            </w:r>
          </w:p>
          <w:p w:rsidR="00D80845" w:rsidRPr="006F3D0C" w:rsidRDefault="00D80845" w:rsidP="00936C8E">
            <w:pPr>
              <w:numPr>
                <w:ilvl w:val="0"/>
                <w:numId w:val="18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 cikk (1) bek. (rendelkezésre bocsátandó információk, ha a személyes adatokat az érintettől gyűjtik)</w:t>
            </w:r>
          </w:p>
          <w:p w:rsidR="00D80845" w:rsidRPr="006F3D0C" w:rsidRDefault="00D80845" w:rsidP="00936C8E">
            <w:pPr>
              <w:numPr>
                <w:ilvl w:val="0"/>
                <w:numId w:val="18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 cikk (az adatfeldolgozó)</w:t>
            </w:r>
          </w:p>
          <w:p w:rsidR="00D80845" w:rsidRPr="006F3D0C" w:rsidRDefault="00D80845" w:rsidP="00936C8E">
            <w:pPr>
              <w:numPr>
                <w:ilvl w:val="0"/>
                <w:numId w:val="18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 cikk (1) bek. (az adatkezelési tevékenységek nyilvántartása)</w:t>
            </w:r>
          </w:p>
        </w:tc>
        <w:tc>
          <w:tcPr>
            <w:tcW w:w="5667" w:type="dxa"/>
            <w:hideMark/>
          </w:tcPr>
          <w:p w:rsidR="00D80845" w:rsidRPr="006F3D0C" w:rsidRDefault="00D80845" w:rsidP="0041186D">
            <w:pPr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Pénzügyi közvetítő tevékenység jogellensége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jogalap nélküli adatkezelés, előzetes tájékoztatás hiánya,  adatkezelési nyilvántartás készítésének elmulasztása és adatfeldolgozói szerződés hiánya.</w:t>
            </w:r>
          </w:p>
        </w:tc>
      </w:tr>
      <w:tr w:rsidR="00D80845" w:rsidRPr="006F3D0C" w:rsidTr="0041186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F6327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hyperlink r:id="rId19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>NAIH/2020/66/21</w:t>
              </w:r>
            </w:hyperlink>
          </w:p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(2020.12.09.)</w:t>
            </w:r>
          </w:p>
        </w:tc>
        <w:tc>
          <w:tcPr>
            <w:tcW w:w="2124" w:type="dxa"/>
            <w:hideMark/>
          </w:tcPr>
          <w:p w:rsidR="00D80845" w:rsidRPr="004F2B6F" w:rsidRDefault="00D80845" w:rsidP="006F3D0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 w:rsidRPr="004F2B6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20.000.000</w:t>
            </w:r>
          </w:p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+ </w:t>
            </w:r>
          </w:p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500.000 (adatfeldolgozó)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19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 cikk (1)-(2) bek. (beépített és alapértelmezett adatvédelem)</w:t>
            </w:r>
          </w:p>
          <w:p w:rsidR="00D80845" w:rsidRPr="006F3D0C" w:rsidRDefault="00D80845" w:rsidP="00936C8E">
            <w:pPr>
              <w:numPr>
                <w:ilvl w:val="0"/>
                <w:numId w:val="19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 cikk (1) bek. b) pont (az adatkezelés biztonsága)</w:t>
            </w:r>
          </w:p>
          <w:p w:rsidR="00D80845" w:rsidRPr="006F3D0C" w:rsidRDefault="00D80845" w:rsidP="00936C8E">
            <w:pPr>
              <w:numPr>
                <w:ilvl w:val="0"/>
                <w:numId w:val="19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 cikk (az érintett tájékoztatása az adatvédelmi incidensről)</w:t>
            </w:r>
          </w:p>
        </w:tc>
        <w:tc>
          <w:tcPr>
            <w:tcW w:w="5667" w:type="dxa"/>
            <w:hideMark/>
          </w:tcPr>
          <w:p w:rsidR="00D80845" w:rsidRDefault="00D80845" w:rsidP="0041186D">
            <w:pPr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adatkezelő a honlapja fejlesztéséhez </w:t>
            </w: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nem kellő gondossággal választott adatfeldolgozót,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amely a honlap fejlesztése és tesztelése kapcsán nem járt el megfelelően, így a kialakult sérülékenység közvetlenül hozzájárult az adatvédelmi incidens bekövetkezéséhez. A Hatóság az adatfeldolgozóra is bírságot szabott ki. </w:t>
            </w:r>
          </w:p>
          <w:p w:rsidR="00D80845" w:rsidRPr="006F3D0C" w:rsidRDefault="00D80845" w:rsidP="0041186D">
            <w:pPr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0845" w:rsidRPr="006F3D0C" w:rsidTr="00411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F6327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hyperlink r:id="rId20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 xml:space="preserve">NAIH/2020/2760/9. </w:t>
              </w:r>
            </w:hyperlink>
          </w:p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(2020.08.13.)</w:t>
            </w:r>
          </w:p>
        </w:tc>
        <w:tc>
          <w:tcPr>
            <w:tcW w:w="2124" w:type="dxa"/>
            <w:hideMark/>
          </w:tcPr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2.000.000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22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c) pont (adattakarékosság)</w:t>
            </w:r>
          </w:p>
          <w:p w:rsidR="00D80845" w:rsidRPr="006F3D0C" w:rsidRDefault="00D80845" w:rsidP="00936C8E">
            <w:pPr>
              <w:numPr>
                <w:ilvl w:val="0"/>
                <w:numId w:val="22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cikk (1) bek. (jogalapok)</w:t>
            </w:r>
          </w:p>
        </w:tc>
        <w:tc>
          <w:tcPr>
            <w:tcW w:w="5667" w:type="dxa"/>
            <w:hideMark/>
          </w:tcPr>
          <w:p w:rsidR="00D80845" w:rsidRDefault="00D80845" w:rsidP="0041186D">
            <w:pPr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Engedményezést követően telefonszám és email cím jogalap nélküli kezelése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A8343D" w:rsidRDefault="00A8343D" w:rsidP="0041186D">
            <w:pPr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80845" w:rsidRPr="006F3D0C" w:rsidRDefault="00D80845" w:rsidP="0041186D">
            <w:pPr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80845" w:rsidRPr="006F3D0C" w:rsidTr="0041186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F6327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hyperlink r:id="rId21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 xml:space="preserve">NAIH/2020/687/2. </w:t>
              </w:r>
            </w:hyperlink>
          </w:p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(2020.08.06.)</w:t>
            </w:r>
          </w:p>
        </w:tc>
        <w:tc>
          <w:tcPr>
            <w:tcW w:w="2124" w:type="dxa"/>
            <w:hideMark/>
          </w:tcPr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2.000.000</w:t>
            </w:r>
          </w:p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+ </w:t>
            </w:r>
          </w:p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A3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2.000.000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23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bekezdés a) pont (jogszerűség, tisztességes eljárás és átláthatóság)</w:t>
            </w:r>
          </w:p>
          <w:p w:rsidR="00D80845" w:rsidRPr="006F3D0C" w:rsidRDefault="00D80845" w:rsidP="00936C8E">
            <w:pPr>
              <w:numPr>
                <w:ilvl w:val="0"/>
                <w:numId w:val="23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d) pont (pontosság)</w:t>
            </w:r>
          </w:p>
          <w:p w:rsidR="00D80845" w:rsidRPr="006F3D0C" w:rsidRDefault="00D80845" w:rsidP="00936C8E">
            <w:pPr>
              <w:numPr>
                <w:ilvl w:val="0"/>
                <w:numId w:val="23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cikk (1) bek. (jogalapok)</w:t>
            </w:r>
          </w:p>
          <w:p w:rsidR="00D80845" w:rsidRPr="006F3D0C" w:rsidRDefault="00D80845" w:rsidP="00936C8E">
            <w:pPr>
              <w:numPr>
                <w:ilvl w:val="0"/>
                <w:numId w:val="23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 cikk (1) bek. c) pont (tájékoztatás)</w:t>
            </w:r>
          </w:p>
          <w:p w:rsidR="00D80845" w:rsidRPr="006F3D0C" w:rsidRDefault="00D80845" w:rsidP="00936C8E">
            <w:pPr>
              <w:numPr>
                <w:ilvl w:val="0"/>
                <w:numId w:val="23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 cikk (1) bek. f) és g) pont</w:t>
            </w:r>
          </w:p>
          <w:p w:rsidR="00D80845" w:rsidRPr="006F3D0C" w:rsidRDefault="00D80845" w:rsidP="00936C8E">
            <w:pPr>
              <w:numPr>
                <w:ilvl w:val="0"/>
                <w:numId w:val="23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 cikk (1) bek. a) pont (az adatkezelés korlátozásához való jog)</w:t>
            </w:r>
          </w:p>
        </w:tc>
        <w:tc>
          <w:tcPr>
            <w:tcW w:w="5667" w:type="dxa"/>
            <w:hideMark/>
          </w:tcPr>
          <w:p w:rsidR="00D80845" w:rsidRPr="006F3D0C" w:rsidRDefault="00D80845" w:rsidP="0041186D">
            <w:pPr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Követelés engedményezésével kapcsolatos adatkezelés,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amelynek során több az engedményezési folyamatban részes adatkezelő is mulasztást követett el, többek között a hozzáférési és a tájékoztatási jogok megsértése révén. </w:t>
            </w:r>
          </w:p>
        </w:tc>
      </w:tr>
      <w:tr w:rsidR="00D80845" w:rsidRPr="006F3D0C" w:rsidTr="00411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F6327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hyperlink r:id="rId22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>N</w:t>
              </w:r>
            </w:hyperlink>
            <w:hyperlink r:id="rId23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>AIH/2020/2546/15.</w:t>
              </w:r>
            </w:hyperlink>
          </w:p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(2020.12.16.)</w:t>
            </w:r>
          </w:p>
        </w:tc>
        <w:tc>
          <w:tcPr>
            <w:tcW w:w="2124" w:type="dxa"/>
            <w:hideMark/>
          </w:tcPr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F2B6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35.000.000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24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c) pont (adattakarékosság)</w:t>
            </w:r>
          </w:p>
          <w:p w:rsidR="00D80845" w:rsidRPr="006F3D0C" w:rsidRDefault="00D80845" w:rsidP="00936C8E">
            <w:pPr>
              <w:numPr>
                <w:ilvl w:val="0"/>
                <w:numId w:val="24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cikk (1) bek. (jogalapok)</w:t>
            </w:r>
          </w:p>
          <w:p w:rsidR="00D80845" w:rsidRPr="006F3D0C" w:rsidRDefault="00D80845" w:rsidP="00936C8E">
            <w:pPr>
              <w:numPr>
                <w:ilvl w:val="0"/>
                <w:numId w:val="24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 cikk (2) bek. (különleges adatok kezelése)</w:t>
            </w:r>
          </w:p>
          <w:p w:rsidR="00D80845" w:rsidRPr="006F3D0C" w:rsidRDefault="00D80845" w:rsidP="00936C8E">
            <w:pPr>
              <w:numPr>
                <w:ilvl w:val="0"/>
                <w:numId w:val="24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 cikk (1) bek. (átlátható tájékoztatás)</w:t>
            </w:r>
          </w:p>
        </w:tc>
        <w:tc>
          <w:tcPr>
            <w:tcW w:w="5667" w:type="dxa"/>
            <w:hideMark/>
          </w:tcPr>
          <w:p w:rsidR="00D80845" w:rsidRDefault="00D80845" w:rsidP="0041186D">
            <w:pPr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Babaváró kölcsönnel összefüggésben végzett adatkezelés 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kapcsán az adatkezelő a várandósgondozási könyvekről történő másolatkészítés révén olyan személyes adatokat, köztük egészségügyi adatokat is kezelt, amelyek az adatkezelés célja szempontjából nem voltak szükségesek és megfelelő jogalappal sem rendelkezett ezek tekintetében. </w:t>
            </w:r>
          </w:p>
          <w:p w:rsidR="00D80845" w:rsidRPr="006F3D0C" w:rsidRDefault="00D80845" w:rsidP="0041186D">
            <w:pPr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0845" w:rsidRPr="006F3D0C" w:rsidTr="0041186D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F6327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hyperlink r:id="rId24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>NAIH/2020/2758/4.</w:t>
              </w:r>
            </w:hyperlink>
          </w:p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(2020.09.29.)</w:t>
            </w:r>
          </w:p>
        </w:tc>
        <w:tc>
          <w:tcPr>
            <w:tcW w:w="2124" w:type="dxa"/>
            <w:hideMark/>
          </w:tcPr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F2B6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60.000.000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25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bekezdés a) pont (jogszerűség, tisztességes eljárás és átláthatóság)</w:t>
            </w:r>
          </w:p>
          <w:p w:rsidR="00D80845" w:rsidRPr="006F3D0C" w:rsidRDefault="00D80845" w:rsidP="00936C8E">
            <w:pPr>
              <w:numPr>
                <w:ilvl w:val="0"/>
                <w:numId w:val="25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b) pont (célhoz kötöttség)</w:t>
            </w:r>
          </w:p>
          <w:p w:rsidR="00D80845" w:rsidRPr="006F3D0C" w:rsidRDefault="00D80845" w:rsidP="00936C8E">
            <w:pPr>
              <w:numPr>
                <w:ilvl w:val="0"/>
                <w:numId w:val="25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c) pont (adattakarékosság)</w:t>
            </w:r>
          </w:p>
          <w:p w:rsidR="00D80845" w:rsidRPr="006F3D0C" w:rsidRDefault="00D80845" w:rsidP="00936C8E">
            <w:pPr>
              <w:numPr>
                <w:ilvl w:val="0"/>
                <w:numId w:val="25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cikk (1) bek. (jogalapok)</w:t>
            </w:r>
          </w:p>
          <w:p w:rsidR="00D80845" w:rsidRPr="006F3D0C" w:rsidRDefault="00D80845" w:rsidP="00936C8E">
            <w:pPr>
              <w:numPr>
                <w:ilvl w:val="0"/>
                <w:numId w:val="25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 cikk (1) bek. (átlátható tájékoztatás)</w:t>
            </w:r>
          </w:p>
          <w:p w:rsidR="00D80845" w:rsidRPr="006F3D0C" w:rsidRDefault="00D80845" w:rsidP="00936C8E">
            <w:pPr>
              <w:numPr>
                <w:ilvl w:val="0"/>
                <w:numId w:val="25"/>
              </w:numPr>
              <w:spacing w:before="100" w:beforeAutospacing="1" w:after="100" w:afterAutospacing="1"/>
              <w:ind w:hanging="6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13. cikk (1) bek. (tájékoztatás)</w:t>
            </w:r>
          </w:p>
        </w:tc>
        <w:tc>
          <w:tcPr>
            <w:tcW w:w="5667" w:type="dxa"/>
            <w:hideMark/>
          </w:tcPr>
          <w:p w:rsidR="00D80845" w:rsidRDefault="00D80845" w:rsidP="0041186D">
            <w:pPr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Személyes ügyfélszolgálaton történő ügyintézésekről készített az adatkezelő hangfelvételeket</w:t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amelyek kapcsán megfelelő jogalappal nem rendelkezett, illetve megsértette a célhoz kötöttség és adattakarékosság elveit is. </w:t>
            </w:r>
          </w:p>
          <w:p w:rsidR="00D80845" w:rsidRPr="006F3D0C" w:rsidRDefault="00D80845" w:rsidP="0041186D">
            <w:pPr>
              <w:ind w:left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D80845" w:rsidRPr="006F3D0C" w:rsidTr="00411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hideMark/>
          </w:tcPr>
          <w:p w:rsidR="00D80845" w:rsidRPr="00A874E5" w:rsidRDefault="00DF6327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hyperlink r:id="rId25" w:tgtFrame="_blank" w:history="1">
              <w:r w:rsidR="00D80845" w:rsidRPr="00A874E5">
                <w:rPr>
                  <w:rFonts w:ascii="Times New Roman" w:eastAsia="Times New Roman" w:hAnsi="Times New Roman" w:cs="Times New Roman"/>
                  <w:color w:val="1F3864" w:themeColor="accent5" w:themeShade="80"/>
                  <w:sz w:val="24"/>
                  <w:szCs w:val="24"/>
                  <w:u w:val="single"/>
                  <w:lang w:eastAsia="hu-HU"/>
                </w:rPr>
                <w:t>NAIH/2020/54/4.</w:t>
              </w:r>
            </w:hyperlink>
          </w:p>
          <w:p w:rsidR="00D80845" w:rsidRPr="00A874E5" w:rsidRDefault="00D80845" w:rsidP="006F3D0C">
            <w:pPr>
              <w:tabs>
                <w:tab w:val="left" w:pos="1798"/>
              </w:tabs>
              <w:spacing w:before="100" w:beforeAutospacing="1" w:after="100" w:afterAutospacing="1"/>
              <w:ind w:right="257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</w:pPr>
            <w:r w:rsidRPr="00A874E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hu-HU"/>
              </w:rPr>
              <w:t>(2020.12.10.)</w:t>
            </w:r>
          </w:p>
        </w:tc>
        <w:tc>
          <w:tcPr>
            <w:tcW w:w="2124" w:type="dxa"/>
            <w:hideMark/>
          </w:tcPr>
          <w:p w:rsidR="00D80845" w:rsidRPr="00EA3A76" w:rsidRDefault="00D80845" w:rsidP="006F3D0C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F2B6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  <w:t>8.000.000</w:t>
            </w:r>
          </w:p>
        </w:tc>
        <w:tc>
          <w:tcPr>
            <w:tcW w:w="3535" w:type="dxa"/>
            <w:hideMark/>
          </w:tcPr>
          <w:p w:rsidR="00D80845" w:rsidRPr="006F3D0C" w:rsidRDefault="00D80845" w:rsidP="00936C8E">
            <w:pPr>
              <w:numPr>
                <w:ilvl w:val="0"/>
                <w:numId w:val="26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bekezdés a) pont (jogszerűség, tisztességes eljárás és átláthatóság)</w:t>
            </w:r>
          </w:p>
          <w:p w:rsidR="00D80845" w:rsidRPr="006F3D0C" w:rsidRDefault="00D80845" w:rsidP="00936C8E">
            <w:pPr>
              <w:numPr>
                <w:ilvl w:val="0"/>
                <w:numId w:val="26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b) pont (célhoz kötöttség)</w:t>
            </w:r>
          </w:p>
          <w:p w:rsidR="00D80845" w:rsidRPr="006F3D0C" w:rsidRDefault="00D80845" w:rsidP="00936C8E">
            <w:pPr>
              <w:numPr>
                <w:ilvl w:val="0"/>
                <w:numId w:val="26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cikk (1) bek. c) pont (adattakarékosság)</w:t>
            </w:r>
          </w:p>
          <w:p w:rsidR="00D80845" w:rsidRPr="006F3D0C" w:rsidRDefault="00D80845" w:rsidP="00936C8E">
            <w:pPr>
              <w:numPr>
                <w:ilvl w:val="0"/>
                <w:numId w:val="26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cikk (1) bek. (jogalapok)</w:t>
            </w:r>
          </w:p>
          <w:p w:rsidR="00D80845" w:rsidRPr="006F3D0C" w:rsidRDefault="00D80845" w:rsidP="00936C8E">
            <w:pPr>
              <w:numPr>
                <w:ilvl w:val="0"/>
                <w:numId w:val="26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 cikk (2) bek. (különleges adatok kezelése)</w:t>
            </w:r>
          </w:p>
          <w:p w:rsidR="00D80845" w:rsidRPr="006F3D0C" w:rsidRDefault="00D80845" w:rsidP="00936C8E">
            <w:pPr>
              <w:numPr>
                <w:ilvl w:val="0"/>
                <w:numId w:val="26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 cikk (1) bek. (átlátható tájékoztatás)</w:t>
            </w:r>
          </w:p>
          <w:p w:rsidR="00D80845" w:rsidRPr="006F3D0C" w:rsidRDefault="00D80845" w:rsidP="00936C8E">
            <w:pPr>
              <w:numPr>
                <w:ilvl w:val="0"/>
                <w:numId w:val="26"/>
              </w:numPr>
              <w:spacing w:before="100" w:beforeAutospacing="1" w:after="100" w:afterAutospacing="1"/>
              <w:ind w:hanging="6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 cikk (1) bek. (tájékoztatás)</w:t>
            </w:r>
          </w:p>
        </w:tc>
        <w:tc>
          <w:tcPr>
            <w:tcW w:w="5667" w:type="dxa"/>
            <w:hideMark/>
          </w:tcPr>
          <w:p w:rsidR="00D80845" w:rsidRPr="006F3D0C" w:rsidRDefault="00D80845" w:rsidP="0041186D">
            <w:pPr>
              <w:ind w:left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eljárásban érintett Egyetem a </w:t>
            </w: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rendszeres szociális ösztöndíj iránti pályázatok benyújtása,</w:t>
            </w:r>
            <w:r w:rsidRPr="008C0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br/>
            </w:r>
            <w:r w:rsidRPr="006F3D0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valamint azok elbírálása során végzett adatkezelése nem felelt meg a GDPR-ban meghatározott feltételeknek.</w:t>
            </w:r>
          </w:p>
        </w:tc>
      </w:tr>
    </w:tbl>
    <w:p w:rsidR="003D281B" w:rsidRDefault="00DF6327"/>
    <w:sectPr w:rsidR="003D281B" w:rsidSect="00936C8E">
      <w:footerReference w:type="default" r:id="rId2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327" w:rsidRDefault="00DF6327" w:rsidP="00F34467">
      <w:pPr>
        <w:spacing w:after="0" w:line="240" w:lineRule="auto"/>
      </w:pPr>
      <w:r>
        <w:separator/>
      </w:r>
    </w:p>
  </w:endnote>
  <w:endnote w:type="continuationSeparator" w:id="0">
    <w:p w:rsidR="00DF6327" w:rsidRDefault="00DF6327" w:rsidP="00F34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00944"/>
      <w:docPartObj>
        <w:docPartGallery w:val="Page Numbers (Bottom of Page)"/>
        <w:docPartUnique/>
      </w:docPartObj>
    </w:sdtPr>
    <w:sdtEndPr/>
    <w:sdtContent>
      <w:p w:rsidR="00F34467" w:rsidRDefault="00F3446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594">
          <w:rPr>
            <w:noProof/>
          </w:rPr>
          <w:t>2</w:t>
        </w:r>
        <w:r>
          <w:fldChar w:fldCharType="end"/>
        </w:r>
      </w:p>
    </w:sdtContent>
  </w:sdt>
  <w:p w:rsidR="00F34467" w:rsidRDefault="00F3446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327" w:rsidRDefault="00DF6327" w:rsidP="00F34467">
      <w:pPr>
        <w:spacing w:after="0" w:line="240" w:lineRule="auto"/>
      </w:pPr>
      <w:r>
        <w:separator/>
      </w:r>
    </w:p>
  </w:footnote>
  <w:footnote w:type="continuationSeparator" w:id="0">
    <w:p w:rsidR="00DF6327" w:rsidRDefault="00DF6327" w:rsidP="00F34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6CB0"/>
    <w:multiLevelType w:val="multilevel"/>
    <w:tmpl w:val="F43C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56F8E"/>
    <w:multiLevelType w:val="multilevel"/>
    <w:tmpl w:val="DCB23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D4915"/>
    <w:multiLevelType w:val="multilevel"/>
    <w:tmpl w:val="D624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705A4"/>
    <w:multiLevelType w:val="multilevel"/>
    <w:tmpl w:val="4AA4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F0667"/>
    <w:multiLevelType w:val="multilevel"/>
    <w:tmpl w:val="77B8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A17F4A"/>
    <w:multiLevelType w:val="multilevel"/>
    <w:tmpl w:val="3C0C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B256E"/>
    <w:multiLevelType w:val="multilevel"/>
    <w:tmpl w:val="2830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E06B8"/>
    <w:multiLevelType w:val="multilevel"/>
    <w:tmpl w:val="F83E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A041E"/>
    <w:multiLevelType w:val="multilevel"/>
    <w:tmpl w:val="3A12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80C7A"/>
    <w:multiLevelType w:val="multilevel"/>
    <w:tmpl w:val="9DBC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F13AA"/>
    <w:multiLevelType w:val="multilevel"/>
    <w:tmpl w:val="1A0A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914BC"/>
    <w:multiLevelType w:val="multilevel"/>
    <w:tmpl w:val="27C2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063B0B"/>
    <w:multiLevelType w:val="multilevel"/>
    <w:tmpl w:val="C7AC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7D4A26"/>
    <w:multiLevelType w:val="multilevel"/>
    <w:tmpl w:val="9C18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022E2"/>
    <w:multiLevelType w:val="multilevel"/>
    <w:tmpl w:val="C8BC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843F0B"/>
    <w:multiLevelType w:val="multilevel"/>
    <w:tmpl w:val="7F8E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60294"/>
    <w:multiLevelType w:val="multilevel"/>
    <w:tmpl w:val="0F8E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4044A2"/>
    <w:multiLevelType w:val="multilevel"/>
    <w:tmpl w:val="8B56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983FD2"/>
    <w:multiLevelType w:val="multilevel"/>
    <w:tmpl w:val="2BAA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B719EB"/>
    <w:multiLevelType w:val="multilevel"/>
    <w:tmpl w:val="1918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EE0CA2"/>
    <w:multiLevelType w:val="multilevel"/>
    <w:tmpl w:val="B51A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E660F1"/>
    <w:multiLevelType w:val="multilevel"/>
    <w:tmpl w:val="6C8C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AB42AB"/>
    <w:multiLevelType w:val="multilevel"/>
    <w:tmpl w:val="97C8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C67B5"/>
    <w:multiLevelType w:val="multilevel"/>
    <w:tmpl w:val="A100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BF35E5"/>
    <w:multiLevelType w:val="multilevel"/>
    <w:tmpl w:val="953C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839A1"/>
    <w:multiLevelType w:val="multilevel"/>
    <w:tmpl w:val="0F9E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14"/>
  </w:num>
  <w:num w:numId="5">
    <w:abstractNumId w:val="10"/>
  </w:num>
  <w:num w:numId="6">
    <w:abstractNumId w:val="2"/>
  </w:num>
  <w:num w:numId="7">
    <w:abstractNumId w:val="8"/>
  </w:num>
  <w:num w:numId="8">
    <w:abstractNumId w:val="17"/>
  </w:num>
  <w:num w:numId="9">
    <w:abstractNumId w:val="7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23"/>
  </w:num>
  <w:num w:numId="15">
    <w:abstractNumId w:val="25"/>
  </w:num>
  <w:num w:numId="16">
    <w:abstractNumId w:val="1"/>
  </w:num>
  <w:num w:numId="17">
    <w:abstractNumId w:val="15"/>
  </w:num>
  <w:num w:numId="18">
    <w:abstractNumId w:val="3"/>
  </w:num>
  <w:num w:numId="19">
    <w:abstractNumId w:val="12"/>
  </w:num>
  <w:num w:numId="20">
    <w:abstractNumId w:val="11"/>
  </w:num>
  <w:num w:numId="21">
    <w:abstractNumId w:val="13"/>
  </w:num>
  <w:num w:numId="22">
    <w:abstractNumId w:val="24"/>
  </w:num>
  <w:num w:numId="23">
    <w:abstractNumId w:val="18"/>
  </w:num>
  <w:num w:numId="24">
    <w:abstractNumId w:val="6"/>
  </w:num>
  <w:num w:numId="25">
    <w:abstractNumId w:val="2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0C"/>
    <w:rsid w:val="000109AD"/>
    <w:rsid w:val="000D211E"/>
    <w:rsid w:val="000D7196"/>
    <w:rsid w:val="00197B85"/>
    <w:rsid w:val="001E0BCC"/>
    <w:rsid w:val="0024304B"/>
    <w:rsid w:val="002A66FC"/>
    <w:rsid w:val="00411470"/>
    <w:rsid w:val="0041186D"/>
    <w:rsid w:val="0049260B"/>
    <w:rsid w:val="004E3B11"/>
    <w:rsid w:val="004F2B6F"/>
    <w:rsid w:val="006F3D0C"/>
    <w:rsid w:val="008A1F3C"/>
    <w:rsid w:val="008C0FB0"/>
    <w:rsid w:val="00936C8E"/>
    <w:rsid w:val="00A25F3D"/>
    <w:rsid w:val="00A8343D"/>
    <w:rsid w:val="00A874E5"/>
    <w:rsid w:val="00B23F3B"/>
    <w:rsid w:val="00C1696F"/>
    <w:rsid w:val="00C2707A"/>
    <w:rsid w:val="00C32594"/>
    <w:rsid w:val="00D030A4"/>
    <w:rsid w:val="00D80845"/>
    <w:rsid w:val="00DF6327"/>
    <w:rsid w:val="00E96BA9"/>
    <w:rsid w:val="00EA3A76"/>
    <w:rsid w:val="00F046F5"/>
    <w:rsid w:val="00F3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227B6-7023-4B29-B32B-C0640803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Listaszertblzat41jellszn">
    <w:name w:val="List Table 4 Accent 1"/>
    <w:basedOn w:val="Normltblzat"/>
    <w:uiPriority w:val="49"/>
    <w:rsid w:val="00D8084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D8084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D8084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5stt1jellszn">
    <w:name w:val="Grid Table 5 Dark Accent 1"/>
    <w:basedOn w:val="Normltblzat"/>
    <w:uiPriority w:val="50"/>
    <w:rsid w:val="00D808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lfej">
    <w:name w:val="header"/>
    <w:basedOn w:val="Norml"/>
    <w:link w:val="lfejChar"/>
    <w:uiPriority w:val="99"/>
    <w:unhideWhenUsed/>
    <w:rsid w:val="00F34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4467"/>
  </w:style>
  <w:style w:type="paragraph" w:styleId="llb">
    <w:name w:val="footer"/>
    <w:basedOn w:val="Norml"/>
    <w:link w:val="llbChar"/>
    <w:uiPriority w:val="99"/>
    <w:unhideWhenUsed/>
    <w:rsid w:val="00F34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4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ih.hu/files/NAIH-2020-200-hatarozat.pdf" TargetMode="External"/><Relationship Id="rId13" Type="http://schemas.openxmlformats.org/officeDocument/2006/relationships/hyperlink" Target="https://www.naih.hu/files/NAIH-2020-1154-9-hatarozat.pdf" TargetMode="External"/><Relationship Id="rId18" Type="http://schemas.openxmlformats.org/officeDocument/2006/relationships/hyperlink" Target="https://www.naih.hu/files/NAIH-2020-1866-hatarozat.pdf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naih.hu/files/NAIH-2020-687-2-hatarozat.pdf" TargetMode="External"/><Relationship Id="rId7" Type="http://schemas.openxmlformats.org/officeDocument/2006/relationships/hyperlink" Target="https://www.naih.hu/files/NAIH-2020-166-5-hatarozat.pdf" TargetMode="External"/><Relationship Id="rId12" Type="http://schemas.openxmlformats.org/officeDocument/2006/relationships/hyperlink" Target="https://www.naih.hu/files/NAIH-2020-4365-hatarozat.pdf" TargetMode="External"/><Relationship Id="rId17" Type="http://schemas.openxmlformats.org/officeDocument/2006/relationships/hyperlink" Target="https://www.naih.hu/files/NAIH-2020-952-hatarozat.pdf" TargetMode="External"/><Relationship Id="rId25" Type="http://schemas.openxmlformats.org/officeDocument/2006/relationships/hyperlink" Target="https://naih.hu/hatarozatok-vegzesek/file/325-1-rendszeres-szocialis-osztondijakkal-kapcsolatos-adatkezeles-a-budapesti-muszaki-es-gazdasagtudomanyi-egyetemen-modositasokkal-egyseges-szerkezetb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ih.hu/files/NAIH-2020-2204-8-hatarozat.pdf" TargetMode="External"/><Relationship Id="rId20" Type="http://schemas.openxmlformats.org/officeDocument/2006/relationships/hyperlink" Target="https://www.naih.hu/files/NAIH-2020-2760-9-hatarozat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ih.hu/files/NAIH-2020-974-hatarozat.pdf" TargetMode="External"/><Relationship Id="rId24" Type="http://schemas.openxmlformats.org/officeDocument/2006/relationships/hyperlink" Target="https://www.naih.hu/hatarozatok-vegzesek?download=324:az-ugyintezes-folyamatarol-valo-hangfelvetel-keszites-a-upc-szemelyes-ugyfelfogadasra-alkalmas-irodaiba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aih.hu/files/NAIH-2020-35-3-hatarozat-vegzes.pdf" TargetMode="External"/><Relationship Id="rId23" Type="http://schemas.openxmlformats.org/officeDocument/2006/relationships/hyperlink" Target="https://www.naih.hu/hatarozatok-vegzesek?download=326:babavaro-kolcsonnel-osszefuggesben-vegzett-adatkezeles-varandosgondozasi-konyvekrol-valo-masolatkeszites-jogszeruseg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aih.hu/files/NAIH-2020-308-hatarozat.pdf" TargetMode="External"/><Relationship Id="rId19" Type="http://schemas.openxmlformats.org/officeDocument/2006/relationships/hyperlink" Target="https://www.naih.hu/files/NAIH-2020-0066-21-hataroza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ih.hu/files/NAIH-2020-1160-10-hatarozat.pdf" TargetMode="External"/><Relationship Id="rId14" Type="http://schemas.openxmlformats.org/officeDocument/2006/relationships/hyperlink" Target="https://www.naih.hu/files/NAIH-2020-838-2-hatarozat.pdf" TargetMode="External"/><Relationship Id="rId22" Type="http://schemas.openxmlformats.org/officeDocument/2006/relationships/hyperlink" Target="https://www.naih.hu/hatarozatok-vegzesek?download=326:babavaro-kolcsonnel-osszefuggesben-vegzett-adatkezeles-varandosgondozasi-konyvekrol-valo-masolatkeszites-jogszeruseg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1677</Words>
  <Characters>11572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Marianna</dc:creator>
  <cp:keywords/>
  <dc:description/>
  <cp:lastModifiedBy>Dankóné</cp:lastModifiedBy>
  <cp:revision>2</cp:revision>
  <dcterms:created xsi:type="dcterms:W3CDTF">2021-02-25T11:31:00Z</dcterms:created>
  <dcterms:modified xsi:type="dcterms:W3CDTF">2021-02-25T11:31:00Z</dcterms:modified>
</cp:coreProperties>
</file>